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166"/>
        <w:gridCol w:w="819"/>
        <w:gridCol w:w="680"/>
        <w:gridCol w:w="1121"/>
        <w:gridCol w:w="544"/>
        <w:gridCol w:w="894"/>
        <w:gridCol w:w="771"/>
        <w:gridCol w:w="30"/>
        <w:gridCol w:w="164"/>
        <w:gridCol w:w="1398"/>
        <w:gridCol w:w="71"/>
        <w:gridCol w:w="259"/>
        <w:gridCol w:w="810"/>
        <w:gridCol w:w="596"/>
        <w:gridCol w:w="6"/>
        <w:gridCol w:w="1661"/>
      </w:tblGrid>
      <w:tr w:rsidR="00AD3598" w:rsidTr="00E62442">
        <w:trPr>
          <w:cantSplit/>
        </w:trPr>
        <w:tc>
          <w:tcPr>
            <w:tcW w:w="3425" w:type="pct"/>
            <w:gridSpan w:val="11"/>
          </w:tcPr>
          <w:p w:rsidR="00AD3598" w:rsidRDefault="00A821E1" w:rsidP="00E62442">
            <w:pPr>
              <w:ind w:left="43" w:right="43"/>
            </w:pPr>
            <w:r>
              <w:rPr>
                <w:noProof/>
              </w:rPr>
              <w:drawing>
                <wp:inline distT="0" distB="0" distL="0" distR="0">
                  <wp:extent cx="3295650" cy="668967"/>
                  <wp:effectExtent l="19050" t="0" r="0" b="0"/>
                  <wp:docPr id="3" name="Picture 2" descr="le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jpg"/>
                          <pic:cNvPicPr/>
                        </pic:nvPicPr>
                        <pic:blipFill>
                          <a:blip r:embed="rId5"/>
                          <a:stretch>
                            <a:fillRect/>
                          </a:stretch>
                        </pic:blipFill>
                        <pic:spPr>
                          <a:xfrm>
                            <a:off x="0" y="0"/>
                            <a:ext cx="3320183" cy="673947"/>
                          </a:xfrm>
                          <a:prstGeom prst="rect">
                            <a:avLst/>
                          </a:prstGeom>
                        </pic:spPr>
                      </pic:pic>
                    </a:graphicData>
                  </a:graphic>
                </wp:inline>
              </w:drawing>
            </w:r>
          </w:p>
        </w:tc>
        <w:tc>
          <w:tcPr>
            <w:tcW w:w="1575" w:type="pct"/>
            <w:gridSpan w:val="6"/>
          </w:tcPr>
          <w:p w:rsidR="00AD3598" w:rsidRPr="00AD3598" w:rsidRDefault="00AD3598" w:rsidP="00E62442">
            <w:pPr>
              <w:ind w:left="43" w:right="43"/>
              <w:jc w:val="center"/>
              <w:rPr>
                <w:b/>
                <w:sz w:val="40"/>
                <w:szCs w:val="40"/>
              </w:rPr>
            </w:pPr>
            <w:r w:rsidRPr="00AD3598">
              <w:rPr>
                <w:b/>
                <w:sz w:val="40"/>
                <w:szCs w:val="40"/>
              </w:rPr>
              <w:t>TIMESHEET</w:t>
            </w:r>
          </w:p>
          <w:p w:rsidR="00AD3598" w:rsidRPr="00AD3598" w:rsidRDefault="00AD3598" w:rsidP="00E62442">
            <w:pPr>
              <w:ind w:left="43" w:right="43"/>
              <w:jc w:val="center"/>
              <w:rPr>
                <w:sz w:val="16"/>
                <w:szCs w:val="16"/>
              </w:rPr>
            </w:pPr>
            <w:r w:rsidRPr="00AD3598">
              <w:rPr>
                <w:sz w:val="16"/>
                <w:szCs w:val="16"/>
              </w:rPr>
              <w:t>Fax or email no later than</w:t>
            </w:r>
          </w:p>
          <w:p w:rsidR="00AD3598" w:rsidRDefault="00AD3598" w:rsidP="00E62442">
            <w:pPr>
              <w:ind w:left="43" w:right="43"/>
              <w:jc w:val="center"/>
              <w:rPr>
                <w:sz w:val="16"/>
                <w:szCs w:val="16"/>
              </w:rPr>
            </w:pPr>
            <w:r w:rsidRPr="00AD3598">
              <w:rPr>
                <w:sz w:val="16"/>
                <w:szCs w:val="16"/>
              </w:rPr>
              <w:t>Monday 10:00</w:t>
            </w:r>
            <w:proofErr w:type="gramStart"/>
            <w:r w:rsidRPr="00AD3598">
              <w:rPr>
                <w:sz w:val="16"/>
                <w:szCs w:val="16"/>
              </w:rPr>
              <w:t>am</w:t>
            </w:r>
            <w:proofErr w:type="gramEnd"/>
            <w:r w:rsidRPr="00AD3598">
              <w:rPr>
                <w:sz w:val="16"/>
                <w:szCs w:val="16"/>
              </w:rPr>
              <w:t xml:space="preserve"> AEST.</w:t>
            </w:r>
          </w:p>
          <w:p w:rsidR="00D764C0" w:rsidRDefault="00D764C0" w:rsidP="00E62442">
            <w:pPr>
              <w:ind w:left="43" w:right="43"/>
              <w:jc w:val="center"/>
              <w:rPr>
                <w:sz w:val="16"/>
                <w:szCs w:val="16"/>
              </w:rPr>
            </w:pPr>
            <w:r>
              <w:rPr>
                <w:sz w:val="16"/>
                <w:szCs w:val="16"/>
              </w:rPr>
              <w:t>Fax: 215-568-7194</w:t>
            </w:r>
          </w:p>
          <w:p w:rsidR="00D764C0" w:rsidRDefault="00D764C0" w:rsidP="00E62442">
            <w:pPr>
              <w:ind w:left="43" w:right="43"/>
              <w:jc w:val="center"/>
            </w:pPr>
            <w:r>
              <w:rPr>
                <w:sz w:val="16"/>
                <w:szCs w:val="16"/>
              </w:rPr>
              <w:t>Email: info@legalsearchonline.com</w:t>
            </w:r>
          </w:p>
        </w:tc>
      </w:tr>
      <w:tr w:rsidR="00AD3598" w:rsidTr="00AD3598">
        <w:trPr>
          <w:cantSplit/>
        </w:trPr>
        <w:tc>
          <w:tcPr>
            <w:tcW w:w="5000" w:type="pct"/>
            <w:gridSpan w:val="17"/>
          </w:tcPr>
          <w:p w:rsidR="00AD3598" w:rsidRDefault="00AD3598" w:rsidP="00E62442">
            <w:pPr>
              <w:pStyle w:val="NoSpacing"/>
              <w:spacing w:before="60" w:after="60"/>
              <w:ind w:left="43" w:right="43"/>
            </w:pPr>
            <w:r>
              <w:t>PLEASE ENSURE YOU SELECT YOUR STATE:</w:t>
            </w:r>
          </w:p>
        </w:tc>
      </w:tr>
      <w:tr w:rsidR="00E62442" w:rsidTr="00E62442">
        <w:trPr>
          <w:cantSplit/>
        </w:trPr>
        <w:tc>
          <w:tcPr>
            <w:tcW w:w="1665" w:type="pct"/>
            <w:gridSpan w:val="5"/>
            <w:tcBorders>
              <w:bottom w:val="single" w:sz="4" w:space="0" w:color="000000" w:themeColor="text1"/>
            </w:tcBorders>
          </w:tcPr>
          <w:p w:rsidR="00AD3598" w:rsidRPr="00AD3598" w:rsidRDefault="0033245F" w:rsidP="00E62442">
            <w:pPr>
              <w:pStyle w:val="NoSpacing"/>
              <w:spacing w:before="60" w:after="60"/>
              <w:ind w:left="43" w:right="43"/>
            </w:pPr>
            <w:r>
              <w:fldChar w:fldCharType="begin">
                <w:ffData>
                  <w:name w:val="Check1"/>
                  <w:enabled/>
                  <w:calcOnExit w:val="0"/>
                  <w:checkBox>
                    <w:sizeAuto/>
                    <w:default w:val="0"/>
                  </w:checkBox>
                </w:ffData>
              </w:fldChar>
            </w:r>
            <w:bookmarkStart w:id="0" w:name="Check1"/>
            <w:r w:rsidR="00AD3598">
              <w:instrText xml:space="preserve"> FORMCHECKBOX </w:instrText>
            </w:r>
            <w:r>
              <w:fldChar w:fldCharType="end"/>
            </w:r>
            <w:bookmarkEnd w:id="0"/>
            <w:r w:rsidR="00AD3598">
              <w:t xml:space="preserve"> PA</w:t>
            </w:r>
          </w:p>
        </w:tc>
        <w:tc>
          <w:tcPr>
            <w:tcW w:w="1913" w:type="pct"/>
            <w:gridSpan w:val="8"/>
            <w:tcBorders>
              <w:bottom w:val="single" w:sz="4" w:space="0" w:color="000000" w:themeColor="text1"/>
            </w:tcBorders>
          </w:tcPr>
          <w:p w:rsidR="00AD3598" w:rsidRPr="00AD3598" w:rsidRDefault="006C634C" w:rsidP="006C634C">
            <w:pPr>
              <w:pStyle w:val="NoSpacing"/>
              <w:spacing w:before="60" w:after="60"/>
              <w:ind w:left="43" w:right="43"/>
            </w:pPr>
            <w:r>
              <w:t xml:space="preserve">                  </w:t>
            </w:r>
            <w:r w:rsidR="0033245F">
              <w:fldChar w:fldCharType="begin">
                <w:ffData>
                  <w:name w:val="Check2"/>
                  <w:enabled/>
                  <w:calcOnExit w:val="0"/>
                  <w:checkBox>
                    <w:sizeAuto/>
                    <w:default w:val="0"/>
                  </w:checkBox>
                </w:ffData>
              </w:fldChar>
            </w:r>
            <w:bookmarkStart w:id="1" w:name="Check2"/>
            <w:r w:rsidR="00AD3598">
              <w:instrText xml:space="preserve"> FORMCHECKBOX </w:instrText>
            </w:r>
            <w:r w:rsidR="0033245F">
              <w:fldChar w:fldCharType="end"/>
            </w:r>
            <w:bookmarkEnd w:id="1"/>
            <w:r w:rsidR="00AD3598">
              <w:t xml:space="preserve"> NJ</w:t>
            </w:r>
          </w:p>
        </w:tc>
        <w:tc>
          <w:tcPr>
            <w:tcW w:w="1422" w:type="pct"/>
            <w:gridSpan w:val="4"/>
            <w:tcBorders>
              <w:bottom w:val="single" w:sz="4" w:space="0" w:color="000000" w:themeColor="text1"/>
            </w:tcBorders>
          </w:tcPr>
          <w:p w:rsidR="00AD3598" w:rsidRPr="00AD3598" w:rsidRDefault="0033245F" w:rsidP="00E62442">
            <w:pPr>
              <w:pStyle w:val="NoSpacing"/>
              <w:spacing w:before="60" w:after="60"/>
              <w:ind w:left="43" w:right="43"/>
              <w:jc w:val="right"/>
            </w:pPr>
            <w:r>
              <w:fldChar w:fldCharType="begin">
                <w:ffData>
                  <w:name w:val="Check3"/>
                  <w:enabled/>
                  <w:calcOnExit w:val="0"/>
                  <w:checkBox>
                    <w:sizeAuto/>
                    <w:default w:val="0"/>
                  </w:checkBox>
                </w:ffData>
              </w:fldChar>
            </w:r>
            <w:bookmarkStart w:id="2" w:name="Check3"/>
            <w:r w:rsidR="00AD3598">
              <w:instrText xml:space="preserve"> FORMCHECKBOX </w:instrText>
            </w:r>
            <w:r>
              <w:fldChar w:fldCharType="end"/>
            </w:r>
            <w:bookmarkEnd w:id="2"/>
            <w:r w:rsidR="00AD3598">
              <w:t xml:space="preserve"> DE</w:t>
            </w:r>
          </w:p>
        </w:tc>
      </w:tr>
      <w:tr w:rsidR="00AD3598" w:rsidRPr="00AD3598" w:rsidTr="00AF11D5">
        <w:trPr>
          <w:cantSplit/>
        </w:trPr>
        <w:tc>
          <w:tcPr>
            <w:tcW w:w="4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Client</w:t>
            </w:r>
          </w:p>
        </w:tc>
        <w:tc>
          <w:tcPr>
            <w:tcW w:w="225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p>
        </w:tc>
        <w:tc>
          <w:tcPr>
            <w:tcW w:w="87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Employee Name</w:t>
            </w:r>
          </w:p>
        </w:tc>
        <w:tc>
          <w:tcPr>
            <w:tcW w:w="142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p>
        </w:tc>
      </w:tr>
      <w:tr w:rsidR="00AD3598" w:rsidRPr="00AD3598" w:rsidTr="00AF11D5">
        <w:trPr>
          <w:cantSplit/>
        </w:trPr>
        <w:tc>
          <w:tcPr>
            <w:tcW w:w="4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AF11D5">
            <w:pPr>
              <w:pStyle w:val="NoSpacing"/>
              <w:spacing w:before="60" w:after="60"/>
              <w:ind w:left="43" w:right="43"/>
            </w:pPr>
            <w:r>
              <w:t>Address</w:t>
            </w:r>
          </w:p>
        </w:tc>
        <w:tc>
          <w:tcPr>
            <w:tcW w:w="225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p>
        </w:tc>
        <w:tc>
          <w:tcPr>
            <w:tcW w:w="87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AF11D5">
            <w:pPr>
              <w:pStyle w:val="NoSpacing"/>
              <w:spacing w:before="60" w:after="60"/>
              <w:ind w:left="43" w:right="43"/>
            </w:pPr>
            <w:r>
              <w:t>Week Ending</w:t>
            </w:r>
          </w:p>
        </w:tc>
        <w:tc>
          <w:tcPr>
            <w:tcW w:w="142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p>
        </w:tc>
      </w:tr>
      <w:tr w:rsidR="00AD3598" w:rsidRPr="00E62442" w:rsidTr="00AD3598">
        <w:trPr>
          <w:cantSplit/>
        </w:trPr>
        <w:tc>
          <w:tcPr>
            <w:tcW w:w="5000" w:type="pct"/>
            <w:gridSpan w:val="17"/>
            <w:tcBorders>
              <w:top w:val="single" w:sz="4" w:space="0" w:color="000000" w:themeColor="text1"/>
              <w:bottom w:val="single" w:sz="4" w:space="0" w:color="000000" w:themeColor="text1"/>
            </w:tcBorders>
          </w:tcPr>
          <w:p w:rsidR="00AD3598" w:rsidRPr="00E62442" w:rsidRDefault="00AD3598" w:rsidP="00E62442">
            <w:pPr>
              <w:pStyle w:val="NoSpacing"/>
              <w:spacing w:before="60" w:after="60"/>
              <w:ind w:left="43" w:right="43"/>
            </w:pPr>
          </w:p>
        </w:tc>
      </w:tr>
      <w:tr w:rsidR="00AD3598" w:rsidRPr="007973FA" w:rsidTr="00AF11D5">
        <w:trPr>
          <w:cantSplit/>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rsidR="00AD3598" w:rsidRPr="007973FA" w:rsidRDefault="00AD3598" w:rsidP="00AF11D5">
            <w:pPr>
              <w:pStyle w:val="NoSpacing"/>
              <w:spacing w:before="60" w:after="60"/>
              <w:ind w:left="43" w:right="43"/>
              <w:jc w:val="center"/>
            </w:pPr>
            <w:r w:rsidRPr="007973FA">
              <w:t>SUMMARY OF HOURS WORKED</w:t>
            </w:r>
          </w:p>
        </w:tc>
      </w:tr>
      <w:tr w:rsidR="00E62442" w:rsidRPr="007973FA"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7973FA" w:rsidRDefault="00AD3598" w:rsidP="00AF11D5">
            <w:pPr>
              <w:pStyle w:val="NoSpacing"/>
              <w:spacing w:before="60" w:after="60"/>
              <w:ind w:left="43" w:right="43"/>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7973FA" w:rsidRDefault="00AD3598" w:rsidP="00E62442">
            <w:pPr>
              <w:pStyle w:val="NoSpacing"/>
              <w:spacing w:before="60" w:after="60"/>
              <w:ind w:left="43" w:right="43"/>
              <w:jc w:val="center"/>
            </w:pPr>
            <w:r w:rsidRPr="007973FA">
              <w:t>Date</w:t>
            </w: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7973FA" w:rsidRDefault="00AD3598" w:rsidP="00E62442">
            <w:pPr>
              <w:pStyle w:val="NoSpacing"/>
              <w:spacing w:before="60" w:after="60"/>
              <w:ind w:left="43" w:right="43"/>
              <w:jc w:val="center"/>
            </w:pPr>
            <w:r w:rsidRPr="007973FA">
              <w:t>Time Started</w:t>
            </w: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7973FA" w:rsidRDefault="00AD3598" w:rsidP="00E62442">
            <w:pPr>
              <w:pStyle w:val="NoSpacing"/>
              <w:spacing w:before="60" w:after="60"/>
              <w:ind w:left="43" w:right="43"/>
              <w:jc w:val="center"/>
            </w:pPr>
            <w:r w:rsidRPr="007973FA">
              <w:t>Time Finished</w:t>
            </w: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7973FA" w:rsidRDefault="00AD3598" w:rsidP="00E62442">
            <w:pPr>
              <w:pStyle w:val="NoSpacing"/>
              <w:spacing w:before="60" w:after="60"/>
              <w:ind w:left="43" w:right="43"/>
              <w:jc w:val="center"/>
            </w:pPr>
            <w:r w:rsidRPr="007973FA">
              <w:t>Time for Meals</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7973FA" w:rsidRDefault="00AD3598" w:rsidP="00E62442">
            <w:pPr>
              <w:pStyle w:val="NoSpacing"/>
              <w:spacing w:before="60" w:after="60"/>
              <w:ind w:left="43" w:right="43"/>
              <w:jc w:val="center"/>
            </w:pPr>
            <w:r w:rsidRPr="007973FA">
              <w:t>Hours Worked</w:t>
            </w: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7973FA" w:rsidRDefault="00AD3598" w:rsidP="00E62442">
            <w:pPr>
              <w:pStyle w:val="NoSpacing"/>
              <w:spacing w:before="60" w:after="60"/>
              <w:ind w:left="43" w:right="43"/>
              <w:jc w:val="center"/>
            </w:pPr>
            <w:r w:rsidRPr="007973FA">
              <w:t>OT</w:t>
            </w:r>
          </w:p>
        </w:tc>
      </w:tr>
      <w:tr w:rsidR="00E62442" w:rsidRPr="00AD3598"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Mon</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r>
      <w:tr w:rsidR="00E62442" w:rsidRPr="00AD3598"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Tue</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r>
      <w:tr w:rsidR="00E62442" w:rsidRPr="00AD3598"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Wed</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r>
      <w:tr w:rsidR="00E62442" w:rsidRPr="00AD3598"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Thur</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r>
      <w:tr w:rsidR="00E62442" w:rsidRPr="00AD3598"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Fri</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AF11D5">
            <w:pPr>
              <w:pStyle w:val="NoSpacing"/>
              <w:spacing w:before="60" w:after="60"/>
              <w:ind w:left="43" w:right="43"/>
              <w:jc w:val="center"/>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r>
      <w:tr w:rsidR="00E62442" w:rsidRPr="00AD3598"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Sat</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r>
      <w:tr w:rsidR="00E62442" w:rsidRPr="00AD3598" w:rsidTr="00AF11D5">
        <w:trPr>
          <w:cantSplit/>
        </w:trPr>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Pr="00AD3598" w:rsidRDefault="00AD3598" w:rsidP="00AF11D5">
            <w:pPr>
              <w:pStyle w:val="NoSpacing"/>
              <w:spacing w:before="60" w:after="60"/>
              <w:ind w:left="43" w:right="43"/>
            </w:pPr>
            <w:r>
              <w:t>Sun</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3598" w:rsidRDefault="00AD3598" w:rsidP="00E62442">
            <w:pPr>
              <w:pStyle w:val="NoSpacing"/>
              <w:spacing w:before="60" w:after="60"/>
              <w:ind w:left="43" w:right="43"/>
              <w:jc w:val="center"/>
            </w:pPr>
          </w:p>
        </w:tc>
      </w:tr>
      <w:tr w:rsidR="00AD3598" w:rsidRPr="007973FA" w:rsidTr="00AF11D5">
        <w:trPr>
          <w:cantSplit/>
        </w:trPr>
        <w:tc>
          <w:tcPr>
            <w:tcW w:w="345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rsidR="00AD3598" w:rsidRPr="007973FA" w:rsidRDefault="00AD3598" w:rsidP="00AF11D5">
            <w:pPr>
              <w:pStyle w:val="NoSpacing"/>
              <w:spacing w:before="60" w:after="60"/>
              <w:ind w:left="43" w:right="43"/>
              <w:jc w:val="center"/>
            </w:pPr>
            <w:r w:rsidRPr="007973FA">
              <w:t>Total Hours Worked</w:t>
            </w:r>
          </w:p>
        </w:tc>
        <w:tc>
          <w:tcPr>
            <w:tcW w:w="7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rsidR="00AD3598" w:rsidRPr="007973FA" w:rsidRDefault="00AD3598" w:rsidP="00AF11D5">
            <w:pPr>
              <w:pStyle w:val="NoSpacing"/>
              <w:spacing w:before="60" w:after="60"/>
              <w:ind w:left="43" w:right="43"/>
              <w:jc w:val="center"/>
            </w:pPr>
          </w:p>
        </w:tc>
        <w:tc>
          <w:tcPr>
            <w:tcW w:w="7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rsidR="00AD3598" w:rsidRPr="007973FA" w:rsidRDefault="00AD3598" w:rsidP="00AF11D5">
            <w:pPr>
              <w:pStyle w:val="NoSpacing"/>
              <w:spacing w:before="60" w:after="60"/>
              <w:ind w:left="43" w:right="43"/>
              <w:jc w:val="center"/>
            </w:pPr>
          </w:p>
        </w:tc>
      </w:tr>
      <w:tr w:rsidR="00E62442" w:rsidRPr="00E62442" w:rsidTr="00E62442">
        <w:trPr>
          <w:cantSplit/>
        </w:trPr>
        <w:tc>
          <w:tcPr>
            <w:tcW w:w="5000" w:type="pct"/>
            <w:gridSpan w:val="17"/>
            <w:tcBorders>
              <w:top w:val="single" w:sz="4" w:space="0" w:color="000000" w:themeColor="text1"/>
            </w:tcBorders>
            <w:shd w:val="clear" w:color="auto" w:fill="auto"/>
          </w:tcPr>
          <w:p w:rsidR="00E62442" w:rsidRPr="00E62442" w:rsidRDefault="00E62442" w:rsidP="00E62442">
            <w:pPr>
              <w:pStyle w:val="NoSpacing"/>
            </w:pPr>
          </w:p>
        </w:tc>
      </w:tr>
      <w:tr w:rsidR="00E62442" w:rsidRPr="00AD3598" w:rsidTr="00E62442">
        <w:trPr>
          <w:cantSplit/>
        </w:trPr>
        <w:tc>
          <w:tcPr>
            <w:tcW w:w="831" w:type="pct"/>
            <w:gridSpan w:val="3"/>
            <w:shd w:val="clear" w:color="auto" w:fill="auto"/>
          </w:tcPr>
          <w:p w:rsidR="00E62442" w:rsidRDefault="00E62442" w:rsidP="00E62442">
            <w:pPr>
              <w:pStyle w:val="NoSpacing"/>
              <w:spacing w:before="60" w:after="60"/>
              <w:ind w:left="43" w:right="43"/>
            </w:pPr>
            <w:r>
              <w:t>Client Signature</w:t>
            </w:r>
          </w:p>
        </w:tc>
        <w:tc>
          <w:tcPr>
            <w:tcW w:w="1500" w:type="pct"/>
            <w:gridSpan w:val="4"/>
            <w:shd w:val="clear" w:color="auto" w:fill="auto"/>
          </w:tcPr>
          <w:p w:rsidR="00E62442" w:rsidRDefault="00E62442" w:rsidP="00E62442">
            <w:pPr>
              <w:pStyle w:val="NoSpacing"/>
              <w:pBdr>
                <w:bottom w:val="single" w:sz="4" w:space="1" w:color="000000" w:themeColor="text1"/>
              </w:pBdr>
              <w:spacing w:before="60" w:after="60"/>
              <w:ind w:left="43" w:right="144"/>
            </w:pPr>
          </w:p>
        </w:tc>
        <w:tc>
          <w:tcPr>
            <w:tcW w:w="447" w:type="pct"/>
            <w:gridSpan w:val="3"/>
            <w:shd w:val="clear" w:color="auto" w:fill="auto"/>
          </w:tcPr>
          <w:p w:rsidR="00E62442" w:rsidRDefault="00E62442" w:rsidP="00E62442">
            <w:pPr>
              <w:pStyle w:val="NoSpacing"/>
              <w:spacing w:before="60" w:after="60"/>
              <w:ind w:left="43" w:right="43"/>
            </w:pPr>
            <w:r>
              <w:t>Position</w:t>
            </w:r>
          </w:p>
        </w:tc>
        <w:tc>
          <w:tcPr>
            <w:tcW w:w="1175" w:type="pct"/>
            <w:gridSpan w:val="4"/>
            <w:shd w:val="clear" w:color="auto" w:fill="auto"/>
          </w:tcPr>
          <w:p w:rsidR="00E62442" w:rsidRDefault="00E62442" w:rsidP="00E62442">
            <w:pPr>
              <w:pStyle w:val="NoSpacing"/>
              <w:pBdr>
                <w:bottom w:val="single" w:sz="4" w:space="1" w:color="000000" w:themeColor="text1"/>
              </w:pBdr>
              <w:spacing w:before="60" w:after="60"/>
              <w:ind w:left="43" w:right="144"/>
            </w:pPr>
          </w:p>
        </w:tc>
        <w:tc>
          <w:tcPr>
            <w:tcW w:w="278" w:type="pct"/>
            <w:gridSpan w:val="2"/>
            <w:shd w:val="clear" w:color="auto" w:fill="auto"/>
          </w:tcPr>
          <w:p w:rsidR="00E62442" w:rsidRDefault="00E62442" w:rsidP="00E62442">
            <w:pPr>
              <w:pStyle w:val="NoSpacing"/>
              <w:spacing w:before="60" w:after="60"/>
              <w:ind w:left="43" w:right="43"/>
            </w:pPr>
            <w:r>
              <w:t>Date</w:t>
            </w:r>
          </w:p>
        </w:tc>
        <w:tc>
          <w:tcPr>
            <w:tcW w:w="768" w:type="pct"/>
            <w:shd w:val="clear" w:color="auto" w:fill="auto"/>
          </w:tcPr>
          <w:p w:rsidR="00E62442" w:rsidRDefault="00E62442" w:rsidP="00E62442">
            <w:pPr>
              <w:pStyle w:val="NoSpacing"/>
              <w:pBdr>
                <w:bottom w:val="single" w:sz="4" w:space="1" w:color="000000" w:themeColor="text1"/>
              </w:pBdr>
              <w:spacing w:before="60" w:after="60"/>
              <w:ind w:left="43" w:right="43"/>
            </w:pPr>
          </w:p>
        </w:tc>
      </w:tr>
      <w:tr w:rsidR="00AF11D5" w:rsidRPr="00AF11D5" w:rsidTr="00E62442">
        <w:trPr>
          <w:cantSplit/>
        </w:trPr>
        <w:tc>
          <w:tcPr>
            <w:tcW w:w="5000" w:type="pct"/>
            <w:gridSpan w:val="17"/>
            <w:shd w:val="clear" w:color="auto" w:fill="auto"/>
          </w:tcPr>
          <w:p w:rsidR="00AF11D5" w:rsidRPr="00AF11D5" w:rsidRDefault="00AF11D5" w:rsidP="00AF11D5">
            <w:pPr>
              <w:pStyle w:val="NoSpacing"/>
            </w:pPr>
          </w:p>
        </w:tc>
      </w:tr>
      <w:tr w:rsidR="00E62442" w:rsidRPr="00AD3598" w:rsidTr="00AF11D5">
        <w:trPr>
          <w:cantSplit/>
        </w:trPr>
        <w:tc>
          <w:tcPr>
            <w:tcW w:w="5000" w:type="pct"/>
            <w:gridSpan w:val="17"/>
            <w:shd w:val="clear" w:color="auto" w:fill="auto"/>
            <w:vAlign w:val="center"/>
          </w:tcPr>
          <w:p w:rsidR="00E62442" w:rsidRPr="00E62442" w:rsidRDefault="00E62442" w:rsidP="00AF11D5">
            <w:pPr>
              <w:pStyle w:val="NoSpacing"/>
              <w:spacing w:before="60" w:after="60"/>
              <w:ind w:left="43" w:right="43"/>
              <w:rPr>
                <w:sz w:val="16"/>
                <w:szCs w:val="16"/>
              </w:rPr>
            </w:pPr>
            <w:r w:rsidRPr="00E62442">
              <w:rPr>
                <w:sz w:val="16"/>
                <w:szCs w:val="16"/>
              </w:rPr>
              <w:t>I certify that the number of hours set forth above is accurate and that services have been provided for the hours indicated and those services have been satisfactorily completed by the Temporary Personnel. By signing above, I agree to</w:t>
            </w:r>
            <w:r w:rsidR="006C634C">
              <w:rPr>
                <w:sz w:val="16"/>
                <w:szCs w:val="16"/>
              </w:rPr>
              <w:t xml:space="preserve"> arrange payment to Legal Search</w:t>
            </w:r>
            <w:r w:rsidRPr="00E62442">
              <w:rPr>
                <w:sz w:val="16"/>
                <w:szCs w:val="16"/>
              </w:rPr>
              <w:t xml:space="preserve"> for the services provided according to the Terms of Business which I have received and accept</w:t>
            </w:r>
            <w:r w:rsidR="006C634C">
              <w:rPr>
                <w:sz w:val="16"/>
                <w:szCs w:val="16"/>
              </w:rPr>
              <w:t>ed</w:t>
            </w:r>
            <w:r w:rsidRPr="00E62442">
              <w:rPr>
                <w:sz w:val="16"/>
                <w:szCs w:val="16"/>
              </w:rPr>
              <w:t xml:space="preserve"> as governing this transaction.</w:t>
            </w:r>
          </w:p>
        </w:tc>
      </w:tr>
      <w:tr w:rsidR="00E62442" w:rsidRPr="00AD3598" w:rsidTr="00AF11D5">
        <w:trPr>
          <w:cantSplit/>
        </w:trPr>
        <w:tc>
          <w:tcPr>
            <w:tcW w:w="5000" w:type="pct"/>
            <w:gridSpan w:val="17"/>
            <w:shd w:val="clear" w:color="auto" w:fill="auto"/>
            <w:vAlign w:val="center"/>
          </w:tcPr>
          <w:p w:rsidR="00E62442" w:rsidRPr="00E62442" w:rsidRDefault="00E62442" w:rsidP="00AF11D5">
            <w:pPr>
              <w:pStyle w:val="NoSpacing"/>
              <w:spacing w:before="60" w:after="60"/>
              <w:ind w:left="43" w:right="43"/>
              <w:rPr>
                <w:sz w:val="16"/>
                <w:szCs w:val="16"/>
              </w:rPr>
            </w:pPr>
            <w:r w:rsidRPr="00E62442">
              <w:rPr>
                <w:sz w:val="16"/>
                <w:szCs w:val="16"/>
              </w:rPr>
              <w:t>I understand and agree that, as a condition of the services being provided by</w:t>
            </w:r>
            <w:r w:rsidR="006C634C">
              <w:rPr>
                <w:sz w:val="16"/>
                <w:szCs w:val="16"/>
              </w:rPr>
              <w:t xml:space="preserve"> Legal Search</w:t>
            </w:r>
            <w:r w:rsidRPr="00E62442">
              <w:rPr>
                <w:sz w:val="16"/>
                <w:szCs w:val="16"/>
              </w:rPr>
              <w:t>, the Terms of Business govern all Temporary Personnel</w:t>
            </w:r>
            <w:r>
              <w:rPr>
                <w:sz w:val="16"/>
                <w:szCs w:val="16"/>
              </w:rPr>
              <w:t xml:space="preserve"> </w:t>
            </w:r>
            <w:r w:rsidRPr="00E62442">
              <w:rPr>
                <w:sz w:val="16"/>
                <w:szCs w:val="16"/>
              </w:rPr>
              <w:t>assignments and these terms are incorporated by reference as if fully set forth</w:t>
            </w:r>
            <w:r>
              <w:rPr>
                <w:sz w:val="16"/>
                <w:szCs w:val="16"/>
              </w:rPr>
              <w:t xml:space="preserve"> </w:t>
            </w:r>
            <w:r w:rsidRPr="00E62442">
              <w:rPr>
                <w:sz w:val="16"/>
                <w:szCs w:val="16"/>
              </w:rPr>
              <w:t>herein. Unless the Temporary Personnel were required to leave early due to</w:t>
            </w:r>
            <w:r>
              <w:rPr>
                <w:sz w:val="16"/>
                <w:szCs w:val="16"/>
              </w:rPr>
              <w:t xml:space="preserve"> </w:t>
            </w:r>
            <w:r w:rsidRPr="00E62442">
              <w:rPr>
                <w:sz w:val="16"/>
                <w:szCs w:val="16"/>
              </w:rPr>
              <w:t>illness, emergency or personal necessity, I understand and agree that I am</w:t>
            </w:r>
            <w:r>
              <w:rPr>
                <w:sz w:val="16"/>
                <w:szCs w:val="16"/>
              </w:rPr>
              <w:t xml:space="preserve"> </w:t>
            </w:r>
            <w:r w:rsidRPr="00E62442">
              <w:rPr>
                <w:sz w:val="16"/>
                <w:szCs w:val="16"/>
              </w:rPr>
              <w:t>responsible for payment of the daily minimum assignment period of four (4)</w:t>
            </w:r>
            <w:r>
              <w:rPr>
                <w:sz w:val="16"/>
                <w:szCs w:val="16"/>
              </w:rPr>
              <w:t xml:space="preserve"> </w:t>
            </w:r>
            <w:r w:rsidRPr="00E62442">
              <w:rPr>
                <w:sz w:val="16"/>
                <w:szCs w:val="16"/>
              </w:rPr>
              <w:t>hours, regardless of whether Temporary Personnel have worked the entire daily</w:t>
            </w:r>
            <w:r>
              <w:rPr>
                <w:sz w:val="16"/>
                <w:szCs w:val="16"/>
              </w:rPr>
              <w:t xml:space="preserve"> </w:t>
            </w:r>
            <w:r w:rsidRPr="00E62442">
              <w:rPr>
                <w:sz w:val="16"/>
                <w:szCs w:val="16"/>
              </w:rPr>
              <w:t>minimum assignment pe</w:t>
            </w:r>
            <w:r>
              <w:rPr>
                <w:sz w:val="16"/>
                <w:szCs w:val="16"/>
              </w:rPr>
              <w:t>ri</w:t>
            </w:r>
            <w:r w:rsidRPr="00E62442">
              <w:rPr>
                <w:sz w:val="16"/>
                <w:szCs w:val="16"/>
              </w:rPr>
              <w:t>od. I also understand and agree that additional</w:t>
            </w:r>
            <w:r>
              <w:rPr>
                <w:sz w:val="16"/>
                <w:szCs w:val="16"/>
              </w:rPr>
              <w:t xml:space="preserve"> </w:t>
            </w:r>
            <w:r w:rsidRPr="00E62442">
              <w:rPr>
                <w:sz w:val="16"/>
                <w:szCs w:val="16"/>
              </w:rPr>
              <w:t>loadings may be payable for hours worked on Saturdays, Sundays or Public</w:t>
            </w:r>
            <w:r>
              <w:rPr>
                <w:sz w:val="16"/>
                <w:szCs w:val="16"/>
              </w:rPr>
              <w:t xml:space="preserve"> </w:t>
            </w:r>
            <w:r w:rsidRPr="00E62442">
              <w:rPr>
                <w:sz w:val="16"/>
                <w:szCs w:val="16"/>
              </w:rPr>
              <w:t>Holidays in accordance with any applicable indust</w:t>
            </w:r>
            <w:r>
              <w:rPr>
                <w:sz w:val="16"/>
                <w:szCs w:val="16"/>
              </w:rPr>
              <w:t>ri</w:t>
            </w:r>
            <w:r w:rsidRPr="00E62442">
              <w:rPr>
                <w:sz w:val="16"/>
                <w:szCs w:val="16"/>
              </w:rPr>
              <w:t>al instrument.</w:t>
            </w:r>
          </w:p>
          <w:p w:rsidR="00E62442" w:rsidRPr="00E62442" w:rsidRDefault="00E62442" w:rsidP="00AF11D5">
            <w:pPr>
              <w:pStyle w:val="NoSpacing"/>
              <w:spacing w:before="60" w:after="60"/>
              <w:ind w:left="43" w:right="43"/>
              <w:rPr>
                <w:sz w:val="16"/>
                <w:szCs w:val="16"/>
              </w:rPr>
            </w:pPr>
            <w:r w:rsidRPr="00E62442">
              <w:rPr>
                <w:sz w:val="16"/>
                <w:szCs w:val="16"/>
              </w:rPr>
              <w:t>In accordance with the Terms of Business I acknowledge that:</w:t>
            </w:r>
          </w:p>
          <w:p w:rsidR="00E62442" w:rsidRPr="00E62442" w:rsidRDefault="00E62442" w:rsidP="00AF11D5">
            <w:pPr>
              <w:pStyle w:val="NoSpacing"/>
              <w:spacing w:before="60" w:after="60"/>
              <w:ind w:left="270" w:right="43" w:hanging="227"/>
              <w:rPr>
                <w:sz w:val="16"/>
                <w:szCs w:val="16"/>
              </w:rPr>
            </w:pPr>
            <w:r w:rsidRPr="00E62442">
              <w:rPr>
                <w:sz w:val="16"/>
                <w:szCs w:val="16"/>
              </w:rPr>
              <w:t>a)</w:t>
            </w:r>
            <w:r w:rsidR="00AF11D5">
              <w:rPr>
                <w:sz w:val="16"/>
                <w:szCs w:val="16"/>
              </w:rPr>
              <w:tab/>
            </w:r>
            <w:r w:rsidR="006C634C">
              <w:rPr>
                <w:sz w:val="16"/>
                <w:szCs w:val="16"/>
              </w:rPr>
              <w:t>Legal Search</w:t>
            </w:r>
            <w:r>
              <w:rPr>
                <w:sz w:val="16"/>
                <w:szCs w:val="16"/>
              </w:rPr>
              <w:t xml:space="preserve"> may review its fees from time to time and may vary the fees in accordance with the Terms of Business;</w:t>
            </w:r>
          </w:p>
          <w:p w:rsidR="00E62442" w:rsidRPr="00E62442" w:rsidRDefault="00E62442" w:rsidP="00AF11D5">
            <w:pPr>
              <w:pStyle w:val="NoSpacing"/>
              <w:spacing w:before="60" w:after="60"/>
              <w:ind w:left="270" w:right="43" w:hanging="227"/>
              <w:rPr>
                <w:sz w:val="16"/>
                <w:szCs w:val="16"/>
              </w:rPr>
            </w:pPr>
            <w:r w:rsidRPr="00E62442">
              <w:rPr>
                <w:sz w:val="16"/>
                <w:szCs w:val="16"/>
              </w:rPr>
              <w:t>b)</w:t>
            </w:r>
            <w:r w:rsidR="00AF11D5">
              <w:rPr>
                <w:sz w:val="16"/>
                <w:szCs w:val="16"/>
              </w:rPr>
              <w:tab/>
            </w:r>
            <w:r w:rsidR="006C634C">
              <w:rPr>
                <w:sz w:val="16"/>
                <w:szCs w:val="16"/>
              </w:rPr>
              <w:t>Legal Search</w:t>
            </w:r>
            <w:r>
              <w:rPr>
                <w:sz w:val="16"/>
                <w:szCs w:val="16"/>
              </w:rPr>
              <w:t xml:space="preserve"> will issue a tax invoice each week;</w:t>
            </w:r>
          </w:p>
          <w:p w:rsidR="00E62442" w:rsidRPr="00E62442" w:rsidRDefault="00E62442" w:rsidP="00AF11D5">
            <w:pPr>
              <w:pStyle w:val="NoSpacing"/>
              <w:spacing w:before="60" w:after="60"/>
              <w:ind w:left="270" w:right="43" w:hanging="227"/>
              <w:rPr>
                <w:sz w:val="16"/>
                <w:szCs w:val="16"/>
              </w:rPr>
            </w:pPr>
            <w:r w:rsidRPr="00E62442">
              <w:rPr>
                <w:sz w:val="16"/>
                <w:szCs w:val="16"/>
              </w:rPr>
              <w:t>c)</w:t>
            </w:r>
            <w:r w:rsidR="00AF11D5">
              <w:rPr>
                <w:sz w:val="16"/>
                <w:szCs w:val="16"/>
              </w:rPr>
              <w:t xml:space="preserve"> </w:t>
            </w:r>
            <w:r w:rsidR="00AF11D5">
              <w:rPr>
                <w:sz w:val="16"/>
                <w:szCs w:val="16"/>
              </w:rPr>
              <w:tab/>
              <w:t>T</w:t>
            </w:r>
            <w:r>
              <w:rPr>
                <w:sz w:val="16"/>
                <w:szCs w:val="16"/>
              </w:rPr>
              <w:t>he Temporary Personnel’s timesheet will</w:t>
            </w:r>
            <w:r w:rsidR="006C634C">
              <w:rPr>
                <w:sz w:val="16"/>
                <w:szCs w:val="16"/>
              </w:rPr>
              <w:t xml:space="preserve"> form the basis of Legal Search </w:t>
            </w:r>
            <w:r>
              <w:rPr>
                <w:sz w:val="16"/>
                <w:szCs w:val="16"/>
              </w:rPr>
              <w:t>invoice;</w:t>
            </w:r>
          </w:p>
          <w:p w:rsidR="00E62442" w:rsidRPr="00E62442" w:rsidRDefault="00AF11D5" w:rsidP="00AF11D5">
            <w:pPr>
              <w:pStyle w:val="NoSpacing"/>
              <w:spacing w:before="60" w:after="60"/>
              <w:ind w:left="270" w:right="43" w:hanging="227"/>
              <w:rPr>
                <w:sz w:val="16"/>
                <w:szCs w:val="16"/>
              </w:rPr>
            </w:pPr>
            <w:r>
              <w:rPr>
                <w:sz w:val="16"/>
                <w:szCs w:val="16"/>
              </w:rPr>
              <w:t>d)</w:t>
            </w:r>
            <w:r>
              <w:rPr>
                <w:sz w:val="16"/>
                <w:szCs w:val="16"/>
              </w:rPr>
              <w:tab/>
            </w:r>
            <w:r w:rsidR="006C634C">
              <w:rPr>
                <w:sz w:val="16"/>
                <w:szCs w:val="16"/>
              </w:rPr>
              <w:t>Legal Search</w:t>
            </w:r>
            <w:r w:rsidR="00E62442" w:rsidRPr="00E62442">
              <w:rPr>
                <w:sz w:val="16"/>
                <w:szCs w:val="16"/>
              </w:rPr>
              <w:t xml:space="preserve"> will not be liable for any failure, default, act or omission of the</w:t>
            </w:r>
            <w:r>
              <w:rPr>
                <w:sz w:val="16"/>
                <w:szCs w:val="16"/>
              </w:rPr>
              <w:t xml:space="preserve"> </w:t>
            </w:r>
            <w:r w:rsidR="00E62442" w:rsidRPr="00E62442">
              <w:rPr>
                <w:sz w:val="16"/>
                <w:szCs w:val="16"/>
              </w:rPr>
              <w:t>Temporary Personnel;</w:t>
            </w:r>
          </w:p>
          <w:p w:rsidR="00E62442" w:rsidRPr="00E62442" w:rsidRDefault="00AF11D5" w:rsidP="00AF11D5">
            <w:pPr>
              <w:pStyle w:val="NoSpacing"/>
              <w:spacing w:before="60" w:after="60"/>
              <w:ind w:left="270" w:right="43" w:hanging="227"/>
              <w:rPr>
                <w:sz w:val="16"/>
                <w:szCs w:val="16"/>
              </w:rPr>
            </w:pPr>
            <w:r>
              <w:rPr>
                <w:sz w:val="16"/>
                <w:szCs w:val="16"/>
              </w:rPr>
              <w:t>e)</w:t>
            </w:r>
            <w:r>
              <w:rPr>
                <w:sz w:val="16"/>
                <w:szCs w:val="16"/>
              </w:rPr>
              <w:tab/>
            </w:r>
            <w:r w:rsidR="00E62442" w:rsidRPr="00E62442">
              <w:rPr>
                <w:sz w:val="16"/>
                <w:szCs w:val="16"/>
              </w:rPr>
              <w:t>If the Temporary Personnel is directly or indirectly engaged on a permanent,</w:t>
            </w:r>
            <w:r>
              <w:rPr>
                <w:sz w:val="16"/>
                <w:szCs w:val="16"/>
              </w:rPr>
              <w:t xml:space="preserve"> </w:t>
            </w:r>
            <w:r w:rsidR="00E62442" w:rsidRPr="00E62442">
              <w:rPr>
                <w:sz w:val="16"/>
                <w:szCs w:val="16"/>
              </w:rPr>
              <w:t>temporary, or consulting basis within 12 months of the end of any Temporary</w:t>
            </w:r>
            <w:r>
              <w:rPr>
                <w:sz w:val="16"/>
                <w:szCs w:val="16"/>
              </w:rPr>
              <w:t xml:space="preserve"> </w:t>
            </w:r>
            <w:r w:rsidR="00E62442" w:rsidRPr="00E62442">
              <w:rPr>
                <w:sz w:val="16"/>
                <w:szCs w:val="16"/>
              </w:rPr>
              <w:t>Person</w:t>
            </w:r>
            <w:r w:rsidR="006C634C">
              <w:rPr>
                <w:sz w:val="16"/>
                <w:szCs w:val="16"/>
              </w:rPr>
              <w:t>nel's engagement with Legal Search</w:t>
            </w:r>
            <w:r w:rsidR="00E62442" w:rsidRPr="00E62442">
              <w:rPr>
                <w:sz w:val="16"/>
                <w:szCs w:val="16"/>
              </w:rPr>
              <w:t>, a conversion fee or contract fee</w:t>
            </w:r>
            <w:r w:rsidR="006F33A6">
              <w:rPr>
                <w:sz w:val="16"/>
                <w:szCs w:val="16"/>
              </w:rPr>
              <w:t xml:space="preserve"> in the amount of 20% of the first year’s salary</w:t>
            </w:r>
            <w:r w:rsidR="00E62442" w:rsidRPr="00E62442">
              <w:rPr>
                <w:sz w:val="16"/>
                <w:szCs w:val="16"/>
              </w:rPr>
              <w:t xml:space="preserve"> is</w:t>
            </w:r>
            <w:r>
              <w:rPr>
                <w:sz w:val="16"/>
                <w:szCs w:val="16"/>
              </w:rPr>
              <w:t xml:space="preserve"> </w:t>
            </w:r>
            <w:r w:rsidR="006F33A6">
              <w:rPr>
                <w:sz w:val="16"/>
                <w:szCs w:val="16"/>
              </w:rPr>
              <w:t>payable to Legal Search</w:t>
            </w:r>
            <w:r w:rsidR="00E62442" w:rsidRPr="00E62442">
              <w:rPr>
                <w:sz w:val="16"/>
                <w:szCs w:val="16"/>
              </w:rPr>
              <w:t xml:space="preserve"> at the time of the</w:t>
            </w:r>
            <w:r>
              <w:rPr>
                <w:sz w:val="16"/>
                <w:szCs w:val="16"/>
              </w:rPr>
              <w:t xml:space="preserve"> </w:t>
            </w:r>
            <w:r w:rsidR="00E62442" w:rsidRPr="00E62442">
              <w:rPr>
                <w:sz w:val="16"/>
                <w:szCs w:val="16"/>
              </w:rPr>
              <w:t>engagement</w:t>
            </w:r>
            <w:r w:rsidR="001807D9">
              <w:rPr>
                <w:sz w:val="16"/>
                <w:szCs w:val="16"/>
              </w:rPr>
              <w:t xml:space="preserve"> by the client</w:t>
            </w:r>
            <w:r w:rsidR="00E62442" w:rsidRPr="00E62442">
              <w:rPr>
                <w:sz w:val="16"/>
                <w:szCs w:val="16"/>
              </w:rPr>
              <w:t xml:space="preserve">. </w:t>
            </w:r>
            <w:r w:rsidR="006F33A6">
              <w:rPr>
                <w:sz w:val="16"/>
                <w:szCs w:val="16"/>
              </w:rPr>
              <w:t xml:space="preserve"> </w:t>
            </w:r>
            <w:r w:rsidR="006C634C">
              <w:rPr>
                <w:sz w:val="16"/>
                <w:szCs w:val="16"/>
              </w:rPr>
              <w:t>Legal Search</w:t>
            </w:r>
            <w:r w:rsidR="00E62442" w:rsidRPr="00E62442">
              <w:rPr>
                <w:sz w:val="16"/>
                <w:szCs w:val="16"/>
              </w:rPr>
              <w:t xml:space="preserve"> reserves the </w:t>
            </w:r>
            <w:r>
              <w:rPr>
                <w:sz w:val="16"/>
                <w:szCs w:val="16"/>
              </w:rPr>
              <w:t>ri</w:t>
            </w:r>
            <w:r w:rsidR="00E62442" w:rsidRPr="00E62442">
              <w:rPr>
                <w:sz w:val="16"/>
                <w:szCs w:val="16"/>
              </w:rPr>
              <w:t>ght to amend its scale of fees at its</w:t>
            </w:r>
            <w:r>
              <w:rPr>
                <w:sz w:val="16"/>
                <w:szCs w:val="16"/>
              </w:rPr>
              <w:t xml:space="preserve"> </w:t>
            </w:r>
            <w:r w:rsidR="0071692C">
              <w:rPr>
                <w:sz w:val="16"/>
                <w:szCs w:val="16"/>
              </w:rPr>
              <w:t>discretion from time to time; and</w:t>
            </w:r>
          </w:p>
          <w:p w:rsidR="00E62442" w:rsidRPr="00E62442" w:rsidRDefault="00AF11D5" w:rsidP="00AF11D5">
            <w:pPr>
              <w:pStyle w:val="NoSpacing"/>
              <w:spacing w:before="60" w:after="60"/>
              <w:ind w:left="270" w:right="43" w:hanging="227"/>
              <w:rPr>
                <w:sz w:val="16"/>
                <w:szCs w:val="16"/>
              </w:rPr>
            </w:pPr>
            <w:r>
              <w:rPr>
                <w:sz w:val="16"/>
                <w:szCs w:val="16"/>
              </w:rPr>
              <w:t>f)</w:t>
            </w:r>
            <w:r>
              <w:rPr>
                <w:sz w:val="16"/>
                <w:szCs w:val="16"/>
              </w:rPr>
              <w:tab/>
            </w:r>
            <w:r w:rsidR="00E62442" w:rsidRPr="00E62442">
              <w:rPr>
                <w:sz w:val="16"/>
                <w:szCs w:val="16"/>
              </w:rPr>
              <w:t>If the Temporary Personnel is allocated to another business, introduced, or</w:t>
            </w:r>
            <w:r>
              <w:rPr>
                <w:sz w:val="16"/>
                <w:szCs w:val="16"/>
              </w:rPr>
              <w:t xml:space="preserve"> </w:t>
            </w:r>
            <w:r w:rsidR="00E62442" w:rsidRPr="00E62442">
              <w:rPr>
                <w:sz w:val="16"/>
                <w:szCs w:val="16"/>
              </w:rPr>
              <w:t xml:space="preserve">information regarding the Temporary Personnel </w:t>
            </w:r>
            <w:r>
              <w:rPr>
                <w:sz w:val="16"/>
                <w:szCs w:val="16"/>
              </w:rPr>
              <w:t>i</w:t>
            </w:r>
            <w:r w:rsidR="00E62442" w:rsidRPr="00E62442">
              <w:rPr>
                <w:sz w:val="16"/>
                <w:szCs w:val="16"/>
              </w:rPr>
              <w:t>s passed to a third party</w:t>
            </w:r>
            <w:r>
              <w:rPr>
                <w:sz w:val="16"/>
                <w:szCs w:val="16"/>
              </w:rPr>
              <w:t xml:space="preserve"> </w:t>
            </w:r>
            <w:r w:rsidR="00E62442" w:rsidRPr="00E62442">
              <w:rPr>
                <w:sz w:val="16"/>
                <w:szCs w:val="16"/>
              </w:rPr>
              <w:t>resulting in the temporary or permanent engagement of the Temporary</w:t>
            </w:r>
            <w:r>
              <w:rPr>
                <w:sz w:val="16"/>
                <w:szCs w:val="16"/>
              </w:rPr>
              <w:t xml:space="preserve"> </w:t>
            </w:r>
            <w:r w:rsidR="00E62442" w:rsidRPr="00E62442">
              <w:rPr>
                <w:sz w:val="16"/>
                <w:szCs w:val="16"/>
              </w:rPr>
              <w:t>Personnel by another business within 12 months of the end of the o</w:t>
            </w:r>
            <w:r>
              <w:rPr>
                <w:sz w:val="16"/>
                <w:szCs w:val="16"/>
              </w:rPr>
              <w:t>ri</w:t>
            </w:r>
            <w:r w:rsidR="00E62442" w:rsidRPr="00E62442">
              <w:rPr>
                <w:sz w:val="16"/>
                <w:szCs w:val="16"/>
              </w:rPr>
              <w:t>ginal</w:t>
            </w:r>
            <w:r>
              <w:rPr>
                <w:sz w:val="16"/>
                <w:szCs w:val="16"/>
              </w:rPr>
              <w:t xml:space="preserve"> </w:t>
            </w:r>
            <w:r w:rsidR="006F33A6">
              <w:rPr>
                <w:sz w:val="16"/>
                <w:szCs w:val="16"/>
              </w:rPr>
              <w:t>engagement, a fee in the amount of 20% of the first year’s salary</w:t>
            </w:r>
            <w:r w:rsidR="00E62442" w:rsidRPr="00E62442">
              <w:rPr>
                <w:sz w:val="16"/>
                <w:szCs w:val="16"/>
              </w:rPr>
              <w:t xml:space="preserve"> is </w:t>
            </w:r>
            <w:r w:rsidR="006C634C">
              <w:rPr>
                <w:sz w:val="16"/>
                <w:szCs w:val="16"/>
              </w:rPr>
              <w:t>payable to Legal Search</w:t>
            </w:r>
            <w:r w:rsidR="001807D9">
              <w:rPr>
                <w:sz w:val="16"/>
                <w:szCs w:val="16"/>
              </w:rPr>
              <w:t xml:space="preserve"> by the client</w:t>
            </w:r>
            <w:r w:rsidR="006F33A6">
              <w:rPr>
                <w:sz w:val="16"/>
                <w:szCs w:val="16"/>
              </w:rPr>
              <w:t xml:space="preserve">.  </w:t>
            </w:r>
            <w:r w:rsidR="00E62442" w:rsidRPr="00E62442">
              <w:rPr>
                <w:sz w:val="16"/>
                <w:szCs w:val="16"/>
              </w:rPr>
              <w:t xml:space="preserve"> Such engagement will not attract a</w:t>
            </w:r>
            <w:r>
              <w:rPr>
                <w:sz w:val="16"/>
                <w:szCs w:val="16"/>
              </w:rPr>
              <w:t xml:space="preserve"> </w:t>
            </w:r>
            <w:r w:rsidR="00E62442" w:rsidRPr="00E62442">
              <w:rPr>
                <w:sz w:val="16"/>
                <w:szCs w:val="16"/>
              </w:rPr>
              <w:t>guarantee pe</w:t>
            </w:r>
            <w:r>
              <w:rPr>
                <w:sz w:val="16"/>
                <w:szCs w:val="16"/>
              </w:rPr>
              <w:t>ri</w:t>
            </w:r>
            <w:r w:rsidR="00E62442" w:rsidRPr="00E62442">
              <w:rPr>
                <w:sz w:val="16"/>
                <w:szCs w:val="16"/>
              </w:rPr>
              <w:t>od or be subject to a discount.</w:t>
            </w:r>
            <w:r w:rsidR="001807D9">
              <w:rPr>
                <w:sz w:val="16"/>
                <w:szCs w:val="16"/>
              </w:rPr>
              <w:t xml:space="preserve">   If candidate is hired or transfers to a business or entity not related to client, the 20% of the first year’s salary shall be payable by the candidate or the candidate’s new employer.</w:t>
            </w:r>
          </w:p>
        </w:tc>
      </w:tr>
      <w:tr w:rsidR="00AF11D5" w:rsidRPr="00AD3598" w:rsidTr="00AF11D5">
        <w:trPr>
          <w:cantSplit/>
        </w:trPr>
        <w:tc>
          <w:tcPr>
            <w:tcW w:w="5000" w:type="pct"/>
            <w:gridSpan w:val="17"/>
            <w:shd w:val="clear" w:color="auto" w:fill="auto"/>
            <w:vAlign w:val="center"/>
          </w:tcPr>
          <w:p w:rsidR="00AF11D5" w:rsidRPr="00E62442" w:rsidRDefault="00AF11D5" w:rsidP="00AF11D5">
            <w:pPr>
              <w:pStyle w:val="NoSpacing"/>
              <w:spacing w:before="60" w:after="60"/>
              <w:ind w:left="43" w:right="43"/>
              <w:rPr>
                <w:sz w:val="16"/>
                <w:szCs w:val="16"/>
              </w:rPr>
            </w:pPr>
            <w:r w:rsidRPr="00AF11D5">
              <w:rPr>
                <w:sz w:val="16"/>
                <w:szCs w:val="16"/>
              </w:rPr>
              <w:t>The Te</w:t>
            </w:r>
            <w:r w:rsidR="006C634C">
              <w:rPr>
                <w:sz w:val="16"/>
                <w:szCs w:val="16"/>
              </w:rPr>
              <w:t>mporary Personnel provided by Legal Search</w:t>
            </w:r>
            <w:r w:rsidRPr="00AF11D5">
              <w:rPr>
                <w:sz w:val="16"/>
                <w:szCs w:val="16"/>
              </w:rPr>
              <w:t xml:space="preserve"> is deemed at all times to be under the control and direction of the Client during the term of the engagement. No</w:t>
            </w:r>
            <w:r>
              <w:rPr>
                <w:sz w:val="16"/>
                <w:szCs w:val="16"/>
              </w:rPr>
              <w:t xml:space="preserve"> </w:t>
            </w:r>
            <w:r w:rsidR="006C634C">
              <w:rPr>
                <w:sz w:val="16"/>
                <w:szCs w:val="16"/>
              </w:rPr>
              <w:t>liability will be accepted by Legal Search</w:t>
            </w:r>
            <w:r w:rsidRPr="00AF11D5">
              <w:rPr>
                <w:sz w:val="16"/>
                <w:szCs w:val="16"/>
              </w:rPr>
              <w:t xml:space="preserve"> for the negligence, dishonesty, misconduct or lack of skill of the Temporary Personnel. In the event of any conflict between</w:t>
            </w:r>
            <w:r>
              <w:rPr>
                <w:sz w:val="16"/>
                <w:szCs w:val="16"/>
              </w:rPr>
              <w:t xml:space="preserve"> </w:t>
            </w:r>
            <w:r w:rsidRPr="00AF11D5">
              <w:rPr>
                <w:sz w:val="16"/>
                <w:szCs w:val="16"/>
              </w:rPr>
              <w:t>the timesheet(s) and the Terms of Business, I agree that the Terms of Business will control.</w:t>
            </w:r>
          </w:p>
        </w:tc>
      </w:tr>
    </w:tbl>
    <w:p w:rsidR="00AD3598" w:rsidRDefault="00AD3598" w:rsidP="00D764C0">
      <w:bookmarkStart w:id="3" w:name="_GoBack"/>
      <w:bookmarkEnd w:id="3"/>
    </w:p>
    <w:sectPr w:rsidR="00AD3598" w:rsidSect="00AF11D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98"/>
    <w:rsid w:val="0004505F"/>
    <w:rsid w:val="000D50FE"/>
    <w:rsid w:val="000F1E53"/>
    <w:rsid w:val="00101F1F"/>
    <w:rsid w:val="00113083"/>
    <w:rsid w:val="00135748"/>
    <w:rsid w:val="00170311"/>
    <w:rsid w:val="001807D9"/>
    <w:rsid w:val="00196DEB"/>
    <w:rsid w:val="001B2932"/>
    <w:rsid w:val="001B3410"/>
    <w:rsid w:val="001B73F1"/>
    <w:rsid w:val="001C4471"/>
    <w:rsid w:val="001D1D4C"/>
    <w:rsid w:val="001D687D"/>
    <w:rsid w:val="001F32BF"/>
    <w:rsid w:val="001F4C93"/>
    <w:rsid w:val="0021052B"/>
    <w:rsid w:val="0021163F"/>
    <w:rsid w:val="00242CBD"/>
    <w:rsid w:val="002574B2"/>
    <w:rsid w:val="00275B58"/>
    <w:rsid w:val="002A3C48"/>
    <w:rsid w:val="00325A2E"/>
    <w:rsid w:val="0033245F"/>
    <w:rsid w:val="00351F15"/>
    <w:rsid w:val="00365BF9"/>
    <w:rsid w:val="00380BF2"/>
    <w:rsid w:val="003A46AE"/>
    <w:rsid w:val="003F3BB5"/>
    <w:rsid w:val="00413798"/>
    <w:rsid w:val="00453C79"/>
    <w:rsid w:val="004823BD"/>
    <w:rsid w:val="004A51A5"/>
    <w:rsid w:val="004C1534"/>
    <w:rsid w:val="005853A4"/>
    <w:rsid w:val="005D10AD"/>
    <w:rsid w:val="005D13DC"/>
    <w:rsid w:val="005D2AD6"/>
    <w:rsid w:val="005D3E99"/>
    <w:rsid w:val="00610CB5"/>
    <w:rsid w:val="00624601"/>
    <w:rsid w:val="00664B93"/>
    <w:rsid w:val="006651B6"/>
    <w:rsid w:val="006C634C"/>
    <w:rsid w:val="006D3A8D"/>
    <w:rsid w:val="006E4820"/>
    <w:rsid w:val="006F33A6"/>
    <w:rsid w:val="006F5F75"/>
    <w:rsid w:val="00701B49"/>
    <w:rsid w:val="00704F96"/>
    <w:rsid w:val="0071692C"/>
    <w:rsid w:val="00724B33"/>
    <w:rsid w:val="00747DB1"/>
    <w:rsid w:val="007973FA"/>
    <w:rsid w:val="007A4B8A"/>
    <w:rsid w:val="007D38CA"/>
    <w:rsid w:val="007E5FCB"/>
    <w:rsid w:val="0083657C"/>
    <w:rsid w:val="00870579"/>
    <w:rsid w:val="00874855"/>
    <w:rsid w:val="00874E3A"/>
    <w:rsid w:val="008E3D10"/>
    <w:rsid w:val="008F4975"/>
    <w:rsid w:val="00907701"/>
    <w:rsid w:val="00974FB2"/>
    <w:rsid w:val="00996649"/>
    <w:rsid w:val="00A565D7"/>
    <w:rsid w:val="00A70F57"/>
    <w:rsid w:val="00A8156B"/>
    <w:rsid w:val="00A821E1"/>
    <w:rsid w:val="00A94A8B"/>
    <w:rsid w:val="00A953B0"/>
    <w:rsid w:val="00AC0EAA"/>
    <w:rsid w:val="00AD3598"/>
    <w:rsid w:val="00AD458C"/>
    <w:rsid w:val="00AF11D5"/>
    <w:rsid w:val="00B34959"/>
    <w:rsid w:val="00B36525"/>
    <w:rsid w:val="00B64B5C"/>
    <w:rsid w:val="00B713ED"/>
    <w:rsid w:val="00BB461B"/>
    <w:rsid w:val="00BB4A76"/>
    <w:rsid w:val="00BB7A81"/>
    <w:rsid w:val="00BB7E9B"/>
    <w:rsid w:val="00C12118"/>
    <w:rsid w:val="00C40B25"/>
    <w:rsid w:val="00C4171F"/>
    <w:rsid w:val="00C65F0D"/>
    <w:rsid w:val="00C66771"/>
    <w:rsid w:val="00C72D17"/>
    <w:rsid w:val="00CF60D5"/>
    <w:rsid w:val="00D32E9D"/>
    <w:rsid w:val="00D6303E"/>
    <w:rsid w:val="00D764C0"/>
    <w:rsid w:val="00DB30D7"/>
    <w:rsid w:val="00DC77C9"/>
    <w:rsid w:val="00E41A11"/>
    <w:rsid w:val="00E62125"/>
    <w:rsid w:val="00E62442"/>
    <w:rsid w:val="00E87A92"/>
    <w:rsid w:val="00E9322E"/>
    <w:rsid w:val="00EB0940"/>
    <w:rsid w:val="00F02652"/>
    <w:rsid w:val="00F60EDA"/>
    <w:rsid w:val="00FA1DE2"/>
    <w:rsid w:val="00FC619B"/>
    <w:rsid w:val="00FE38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598"/>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5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D3598"/>
    <w:pPr>
      <w:spacing w:after="0" w:line="240" w:lineRule="auto"/>
    </w:pPr>
    <w:rPr>
      <w:rFonts w:ascii="Tahoma" w:hAnsi="Tahoma"/>
      <w:sz w:val="24"/>
    </w:rPr>
  </w:style>
  <w:style w:type="character" w:styleId="Hyperlink">
    <w:name w:val="Hyperlink"/>
    <w:basedOn w:val="DefaultParagraphFont"/>
    <w:uiPriority w:val="99"/>
    <w:unhideWhenUsed/>
    <w:rsid w:val="006C634C"/>
    <w:rPr>
      <w:color w:val="0000FF" w:themeColor="hyperlink"/>
      <w:u w:val="single"/>
    </w:rPr>
  </w:style>
  <w:style w:type="paragraph" w:styleId="BalloonText">
    <w:name w:val="Balloon Text"/>
    <w:basedOn w:val="Normal"/>
    <w:link w:val="BalloonTextChar"/>
    <w:uiPriority w:val="99"/>
    <w:semiHidden/>
    <w:unhideWhenUsed/>
    <w:rsid w:val="00874855"/>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874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598"/>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5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D3598"/>
    <w:pPr>
      <w:spacing w:after="0" w:line="240" w:lineRule="auto"/>
    </w:pPr>
    <w:rPr>
      <w:rFonts w:ascii="Tahoma" w:hAnsi="Tahoma"/>
      <w:sz w:val="24"/>
    </w:rPr>
  </w:style>
  <w:style w:type="character" w:styleId="Hyperlink">
    <w:name w:val="Hyperlink"/>
    <w:basedOn w:val="DefaultParagraphFont"/>
    <w:uiPriority w:val="99"/>
    <w:unhideWhenUsed/>
    <w:rsid w:val="006C634C"/>
    <w:rPr>
      <w:color w:val="0000FF" w:themeColor="hyperlink"/>
      <w:u w:val="single"/>
    </w:rPr>
  </w:style>
  <w:style w:type="paragraph" w:styleId="BalloonText">
    <w:name w:val="Balloon Text"/>
    <w:basedOn w:val="Normal"/>
    <w:link w:val="BalloonTextChar"/>
    <w:uiPriority w:val="99"/>
    <w:semiHidden/>
    <w:unhideWhenUsed/>
    <w:rsid w:val="00874855"/>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874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ParenteBeard LLC</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Panchella, Tara M.</dc:creator>
  <cp:lastModifiedBy>Maria Rocco</cp:lastModifiedBy>
  <cp:revision>2</cp:revision>
  <cp:lastPrinted>2012-05-01T14:21:00Z</cp:lastPrinted>
  <dcterms:created xsi:type="dcterms:W3CDTF">2013-02-25T21:03:00Z</dcterms:created>
  <dcterms:modified xsi:type="dcterms:W3CDTF">2013-02-25T21:03:00Z</dcterms:modified>
</cp:coreProperties>
</file>